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505B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XX学院课程教学大纲及课程目标达成度自查报告</w:t>
      </w:r>
    </w:p>
    <w:p w14:paraId="4A38D378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自查工作概况</w:t>
      </w:r>
    </w:p>
    <w:p w14:paraId="4242C46F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（包括组织情况、检查范围与基数、重点检查课程情况等）</w:t>
      </w:r>
    </w:p>
    <w:p w14:paraId="169D50AC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C37631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302FD6B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自查内容与总体情况分析</w:t>
      </w:r>
    </w:p>
    <w:p w14:paraId="03B52F3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（围绕通知要求的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大</w:t>
      </w:r>
      <w:r>
        <w:rPr>
          <w:rFonts w:hint="eastAsia" w:ascii="仿宋" w:hAnsi="仿宋" w:eastAsia="仿宋" w:cs="仿宋"/>
          <w:sz w:val="24"/>
          <w:szCs w:val="24"/>
        </w:rPr>
        <w:t>检查内容，对本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</w:rPr>
        <w:t>课程教学大纲的整体质量及课程目标达成度进行概括性分析。）</w:t>
      </w:r>
    </w:p>
    <w:p w14:paraId="1C87B8CE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256AC40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三、发现的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主要</w:t>
      </w:r>
      <w:r>
        <w:rPr>
          <w:rFonts w:hint="eastAsia" w:ascii="黑体" w:hAnsi="黑体" w:eastAsia="黑体" w:cs="黑体"/>
          <w:sz w:val="28"/>
          <w:szCs w:val="28"/>
        </w:rPr>
        <w:t>问题与整改清单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填写存在严重问题的课程）</w:t>
      </w:r>
    </w:p>
    <w:tbl>
      <w:tblPr>
        <w:tblStyle w:val="3"/>
        <w:tblW w:w="10017" w:type="dxa"/>
        <w:tblInd w:w="-9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17"/>
        <w:gridCol w:w="2266"/>
        <w:gridCol w:w="3017"/>
        <w:gridCol w:w="1017"/>
        <w:gridCol w:w="1200"/>
      </w:tblGrid>
      <w:tr w14:paraId="3823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2CC291D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7" w:type="dxa"/>
          </w:tcPr>
          <w:p w14:paraId="1E93B245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266" w:type="dxa"/>
          </w:tcPr>
          <w:p w14:paraId="44129CE1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3017" w:type="dxa"/>
          </w:tcPr>
          <w:p w14:paraId="52AA9A9D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017" w:type="dxa"/>
          </w:tcPr>
          <w:p w14:paraId="566FDB3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计划完成时间</w:t>
            </w:r>
          </w:p>
        </w:tc>
        <w:tc>
          <w:tcPr>
            <w:tcW w:w="1200" w:type="dxa"/>
          </w:tcPr>
          <w:p w14:paraId="37897B39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整改责任人</w:t>
            </w:r>
          </w:p>
        </w:tc>
      </w:tr>
      <w:tr w14:paraId="3C2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6617256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7" w:type="dxa"/>
          </w:tcPr>
          <w:p w14:paraId="54C10F7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266" w:type="dxa"/>
          </w:tcPr>
          <w:p w14:paraId="7337FB3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3017" w:type="dxa"/>
          </w:tcPr>
          <w:p w14:paraId="6B4BC61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017" w:type="dxa"/>
          </w:tcPr>
          <w:p w14:paraId="7D2FA25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0" w:type="dxa"/>
          </w:tcPr>
          <w:p w14:paraId="36DC4B7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641C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28DAC7D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7" w:type="dxa"/>
          </w:tcPr>
          <w:p w14:paraId="42B6DAE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266" w:type="dxa"/>
          </w:tcPr>
          <w:p w14:paraId="500FEAF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3017" w:type="dxa"/>
          </w:tcPr>
          <w:p w14:paraId="5F4BFA0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017" w:type="dxa"/>
          </w:tcPr>
          <w:p w14:paraId="67FD507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0" w:type="dxa"/>
          </w:tcPr>
          <w:p w14:paraId="1C2939A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55F5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4A41105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7" w:type="dxa"/>
          </w:tcPr>
          <w:p w14:paraId="2CE2FFD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266" w:type="dxa"/>
          </w:tcPr>
          <w:p w14:paraId="26834AA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3017" w:type="dxa"/>
          </w:tcPr>
          <w:p w14:paraId="3FC2E2E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017" w:type="dxa"/>
          </w:tcPr>
          <w:p w14:paraId="0FB5B8D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0" w:type="dxa"/>
          </w:tcPr>
          <w:p w14:paraId="583E3D9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4592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72C3202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7" w:type="dxa"/>
          </w:tcPr>
          <w:p w14:paraId="474EC78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266" w:type="dxa"/>
          </w:tcPr>
          <w:p w14:paraId="37D3F17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3017" w:type="dxa"/>
          </w:tcPr>
          <w:p w14:paraId="0DAC7E1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017" w:type="dxa"/>
          </w:tcPr>
          <w:p w14:paraId="3BAEE70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0" w:type="dxa"/>
          </w:tcPr>
          <w:p w14:paraId="522A190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3CA1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140F892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7" w:type="dxa"/>
          </w:tcPr>
          <w:p w14:paraId="4033FA8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266" w:type="dxa"/>
          </w:tcPr>
          <w:p w14:paraId="022E917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3017" w:type="dxa"/>
          </w:tcPr>
          <w:p w14:paraId="3CF081D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017" w:type="dxa"/>
          </w:tcPr>
          <w:p w14:paraId="1799B20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0" w:type="dxa"/>
          </w:tcPr>
          <w:p w14:paraId="7754310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</w:tbl>
    <w:p w14:paraId="25B3C9DE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已完成的整改与阶段性成效</w:t>
      </w:r>
    </w:p>
    <w:p w14:paraId="181965ED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E622A5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持续改进计划</w:t>
      </w:r>
    </w:p>
    <w:p w14:paraId="531A8F1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7561F9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附件：《XX专业课程教学大纲及课程目标达成度自查情况汇总表》</w:t>
      </w:r>
    </w:p>
    <w:p w14:paraId="03E83585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15759AF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教学副院长（签字）：</w:t>
      </w:r>
    </w:p>
    <w:p w14:paraId="4AE56A9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学院（公章）：</w:t>
      </w:r>
    </w:p>
    <w:p w14:paraId="562B5D6C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日期：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5E19"/>
    <w:rsid w:val="0A061514"/>
    <w:rsid w:val="0F4F61AB"/>
    <w:rsid w:val="12AA3D1C"/>
    <w:rsid w:val="1811244B"/>
    <w:rsid w:val="21296702"/>
    <w:rsid w:val="277C3AB0"/>
    <w:rsid w:val="2A2E571A"/>
    <w:rsid w:val="2F845E75"/>
    <w:rsid w:val="36F12EAD"/>
    <w:rsid w:val="3A2A35A3"/>
    <w:rsid w:val="438F3153"/>
    <w:rsid w:val="4EF92D6D"/>
    <w:rsid w:val="543D3A68"/>
    <w:rsid w:val="555206A5"/>
    <w:rsid w:val="66E43590"/>
    <w:rsid w:val="6DCE7754"/>
    <w:rsid w:val="7A56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14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2026-03-15T12:38:00Z</dcterms:created>
  <dc:creator>Administrator</dc:creator>
  <cp:lastModifiedBy>戴含冰</cp:lastModifiedBy>
  <dcterms:modified xsi:type="dcterms:W3CDTF">2026-04-10T08:51:46Z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eyJoZGlkIjoiZDY0MDQ3ZDBjZjgxYzA3OTQxYWFhNTNlYTJiMDgzZDYiLCJ1c2VySWQiOiIxNjg2MzU3NTc3In0=</vt:lpwstr>
  </property>
  <property fmtid="{D5CDD505-2E9C-101B-9397-08002B2CF9AE}" pid="4" name="ICV">
    <vt:lpwstr>37F9FDEB97D24C11B5E5BD6C6D80DC0F_13</vt:lpwstr>
  </property>
</Properties>
</file>